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94" w:rsidRDefault="00FA1E94" w:rsidP="00FA1E94">
      <w:pPr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1</w:t>
      </w:r>
      <w:r>
        <w:rPr>
          <w:rFonts w:eastAsia="黑体" w:cs="黑体" w:hint="eastAsia"/>
          <w:sz w:val="32"/>
          <w:szCs w:val="32"/>
        </w:rPr>
        <w:t>：</w:t>
      </w:r>
    </w:p>
    <w:p w:rsidR="00FA1E94" w:rsidRDefault="00FA1E94" w:rsidP="00FA1E94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省级评审条件情况表</w:t>
      </w:r>
    </w:p>
    <w:tbl>
      <w:tblPr>
        <w:tblStyle w:val="a3"/>
        <w:tblW w:w="915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1"/>
        <w:gridCol w:w="1179"/>
        <w:gridCol w:w="3481"/>
        <w:gridCol w:w="2610"/>
        <w:gridCol w:w="1165"/>
      </w:tblGrid>
      <w:tr w:rsidR="00FA1E94" w:rsidTr="00B83260">
        <w:trPr>
          <w:trHeight w:val="516"/>
          <w:tblHeader/>
          <w:jc w:val="center"/>
        </w:trPr>
        <w:tc>
          <w:tcPr>
            <w:tcW w:w="721" w:type="dxa"/>
            <w:vAlign w:val="center"/>
          </w:tcPr>
          <w:bookmarkEnd w:id="0"/>
          <w:p w:rsidR="00FA1E94" w:rsidRDefault="00FA1E94" w:rsidP="00B83260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序号</w:t>
            </w:r>
          </w:p>
        </w:tc>
        <w:tc>
          <w:tcPr>
            <w:tcW w:w="1179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分类</w:t>
            </w: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具体要求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备注</w:t>
            </w: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落实情况</w:t>
            </w:r>
          </w:p>
        </w:tc>
      </w:tr>
      <w:tr w:rsidR="00FA1E94" w:rsidTr="00B83260">
        <w:trPr>
          <w:trHeight w:val="452"/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9" w:type="dxa"/>
            <w:vMerge w:val="restart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法规制度</w:t>
            </w:r>
          </w:p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将统筹推进海绵城市、城市地下空间、城市防洪排涝设施建设等要求纳入本省法律或法规。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包括省（自治区）人大立法、省（自治区）政府令等。</w:t>
            </w: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vMerge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制定全省统筹推进海绵城市、城市地下空间、城市防洪排涝设施等方面建设的指导意见或工作方案。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工作方案应长期有效。</w:t>
            </w: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rHeight w:val="90"/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3</w:t>
            </w:r>
          </w:p>
        </w:tc>
        <w:tc>
          <w:tcPr>
            <w:tcW w:w="1179" w:type="dxa"/>
            <w:vMerge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制定完善污水处理、地下管廊使用、雨水利用等城市公共基础设施（资源）有偿使用的法律法规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建立收费机制，明确收费主体及标准等。</w:t>
            </w: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rHeight w:val="620"/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4</w:t>
            </w:r>
          </w:p>
        </w:tc>
        <w:tc>
          <w:tcPr>
            <w:tcW w:w="1179" w:type="dxa"/>
            <w:vMerge w:val="restart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规划标准</w:t>
            </w:r>
          </w:p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省内城市已编制海绵城市、地下空间、城市防洪排涝设施等方面建设的专项规划。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rHeight w:val="620"/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5</w:t>
            </w:r>
          </w:p>
        </w:tc>
        <w:tc>
          <w:tcPr>
            <w:tcW w:w="1179" w:type="dxa"/>
            <w:vMerge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已制定海绵城市、地下空间、城市防洪排涝设施建设以及河湖管理范围划定等方面的地方标准。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rHeight w:val="494"/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6</w:t>
            </w:r>
          </w:p>
        </w:tc>
        <w:tc>
          <w:tcPr>
            <w:tcW w:w="1179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项目基础</w:t>
            </w:r>
          </w:p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在省内开展了统筹推进海绵城市、地下空间利用、城市防洪排涝设施建设相关试点，或形成一批海绵城市建设典型项目。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rHeight w:val="494"/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7</w:t>
            </w:r>
          </w:p>
        </w:tc>
        <w:tc>
          <w:tcPr>
            <w:tcW w:w="1179" w:type="dxa"/>
            <w:vMerge w:val="restart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配套政策</w:t>
            </w:r>
          </w:p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省级财政统筹安排资金、专项债等支持海绵城市、地下空间、城市防洪排涝设施等方面建设。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  <w:lang w:val="en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“十三五”期间，</w:t>
            </w:r>
            <w:proofErr w:type="gramStart"/>
            <w:r>
              <w:rPr>
                <w:rFonts w:ascii="仿宋" w:hAnsi="仿宋" w:cs="仿宋" w:hint="eastAsia"/>
                <w:sz w:val="21"/>
                <w:szCs w:val="21"/>
              </w:rPr>
              <w:t>省级对</w:t>
            </w:r>
            <w:proofErr w:type="gramEnd"/>
            <w:r>
              <w:rPr>
                <w:rFonts w:ascii="仿宋" w:hAnsi="仿宋" w:cs="仿宋" w:hint="eastAsia"/>
                <w:sz w:val="21"/>
                <w:szCs w:val="21"/>
              </w:rPr>
              <w:t>海绵城市建设有配套投入。</w:t>
            </w: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8</w:t>
            </w:r>
          </w:p>
        </w:tc>
        <w:tc>
          <w:tcPr>
            <w:tcW w:w="1179" w:type="dxa"/>
            <w:vMerge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已制定支持统筹推进海绵城市、地下空间、城市防洪排涝设施等方面建设的财税、用地、金融等方面的支持政策。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9</w:t>
            </w:r>
          </w:p>
        </w:tc>
        <w:tc>
          <w:tcPr>
            <w:tcW w:w="1179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指导监督</w:t>
            </w: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建立对域内城市统筹推进海绵城市、地下空间、城市防洪排涝设施等方面建设进行监督指导、绩效评估、信息报送等方面的工作机制并组织实施。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FA1E94" w:rsidTr="00B83260">
        <w:trPr>
          <w:trHeight w:val="1046"/>
          <w:tblHeader/>
          <w:jc w:val="center"/>
        </w:trPr>
        <w:tc>
          <w:tcPr>
            <w:tcW w:w="721" w:type="dxa"/>
            <w:vAlign w:val="center"/>
          </w:tcPr>
          <w:p w:rsidR="00FA1E94" w:rsidRDefault="00FA1E94" w:rsidP="00B83260">
            <w:pPr>
              <w:spacing w:line="320" w:lineRule="exact"/>
              <w:jc w:val="center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10</w:t>
            </w:r>
          </w:p>
        </w:tc>
        <w:tc>
          <w:tcPr>
            <w:tcW w:w="1179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其他</w:t>
            </w:r>
          </w:p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3481" w:type="dxa"/>
            <w:vAlign w:val="center"/>
          </w:tcPr>
          <w:p w:rsidR="00FA1E94" w:rsidRDefault="00FA1E94" w:rsidP="00B83260">
            <w:pPr>
              <w:spacing w:line="320" w:lineRule="exact"/>
              <w:rPr>
                <w:rFonts w:ascii="仿宋" w:hAnsi="仿宋" w:cs="仿宋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其他有利于海绵城市的体制机制建设、组织领导情况。</w:t>
            </w:r>
          </w:p>
        </w:tc>
        <w:tc>
          <w:tcPr>
            <w:tcW w:w="2610" w:type="dxa"/>
            <w:vAlign w:val="center"/>
          </w:tcPr>
          <w:p w:rsidR="00FA1E94" w:rsidRDefault="00FA1E94" w:rsidP="00B83260">
            <w:pPr>
              <w:spacing w:line="320" w:lineRule="exact"/>
              <w:rPr>
                <w:sz w:val="21"/>
                <w:szCs w:val="21"/>
                <w:lang w:val="en"/>
              </w:rPr>
            </w:pPr>
          </w:p>
        </w:tc>
        <w:tc>
          <w:tcPr>
            <w:tcW w:w="1165" w:type="dxa"/>
            <w:vAlign w:val="center"/>
          </w:tcPr>
          <w:p w:rsidR="00FA1E94" w:rsidRDefault="00FA1E94" w:rsidP="00B83260">
            <w:pPr>
              <w:spacing w:line="320" w:lineRule="exact"/>
              <w:rPr>
                <w:sz w:val="21"/>
                <w:szCs w:val="21"/>
              </w:rPr>
            </w:pPr>
          </w:p>
        </w:tc>
      </w:tr>
    </w:tbl>
    <w:p w:rsidR="002120D2" w:rsidRPr="00FA1E94" w:rsidRDefault="002120D2"/>
    <w:sectPr w:rsidR="002120D2" w:rsidRPr="00FA1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94"/>
    <w:rsid w:val="002120D2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1E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1E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szf-pc</dc:creator>
  <cp:lastModifiedBy>szf-pc</cp:lastModifiedBy>
  <cp:revision>1</cp:revision>
  <dcterms:created xsi:type="dcterms:W3CDTF">2022-03-29T04:17:00Z</dcterms:created>
  <dcterms:modified xsi:type="dcterms:W3CDTF">2022-03-29T04:18:00Z</dcterms:modified>
</cp:coreProperties>
</file>